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6535"/>
        <w:gridCol w:w="2521"/>
      </w:tblGrid>
      <w:tr w:rsidR="00816A0F" w:rsidRPr="00AA6CBA" w14:paraId="090C6028" w14:textId="77777777" w:rsidTr="00425413">
        <w:tc>
          <w:tcPr>
            <w:tcW w:w="9206" w:type="dxa"/>
            <w:gridSpan w:val="2"/>
          </w:tcPr>
          <w:p w14:paraId="090B3E34" w14:textId="3EFB5925" w:rsidR="00FD26B4" w:rsidRPr="00FD26B4" w:rsidRDefault="00FD26B4" w:rsidP="00FD26B4">
            <w:pPr>
              <w:autoSpaceDE w:val="0"/>
              <w:autoSpaceDN w:val="0"/>
              <w:adjustRightInd w:val="0"/>
              <w:rPr>
                <w:rFonts w:ascii="AdvOTf9433e2d" w:hAnsi="AdvOTf9433e2d" w:cs="AdvOTf9433e2d"/>
                <w:sz w:val="22"/>
                <w:szCs w:val="22"/>
                <w:lang w:val="en-GB"/>
              </w:rPr>
            </w:pPr>
            <w:r w:rsidRPr="00FD26B4">
              <w:rPr>
                <w:rFonts w:ascii="AdvOTf9433e2d" w:hAnsi="AdvOTf9433e2d" w:cs="AdvOTf9433e2d"/>
                <w:sz w:val="22"/>
                <w:szCs w:val="22"/>
                <w:lang w:val="en-GB"/>
              </w:rPr>
              <w:t xml:space="preserve">Forsyth, D. R. </w:t>
            </w:r>
            <w:r w:rsidR="002C254E" w:rsidRPr="00FD26B4">
              <w:rPr>
                <w:rFonts w:ascii="Calibri" w:hAnsi="Calibri" w:cs="Calibri"/>
                <w:sz w:val="22"/>
                <w:szCs w:val="22"/>
                <w:lang w:val="en-GB"/>
              </w:rPr>
              <w:t>(20</w:t>
            </w:r>
            <w:r w:rsidR="00912459" w:rsidRPr="00FD26B4">
              <w:rPr>
                <w:rFonts w:ascii="Calibri" w:hAnsi="Calibri" w:cs="Calibri"/>
                <w:sz w:val="22"/>
                <w:szCs w:val="22"/>
                <w:lang w:val="en-GB"/>
              </w:rPr>
              <w:t>21</w:t>
            </w:r>
            <w:r w:rsidR="002C254E" w:rsidRPr="00FD26B4">
              <w:rPr>
                <w:rFonts w:ascii="Calibri" w:hAnsi="Calibri" w:cs="Calibri"/>
                <w:sz w:val="22"/>
                <w:szCs w:val="22"/>
                <w:lang w:val="en-GB"/>
              </w:rPr>
              <w:t xml:space="preserve">).  </w:t>
            </w:r>
            <w:r w:rsidRPr="00FD26B4">
              <w:rPr>
                <w:rFonts w:ascii="AdvOTf9433e2d" w:hAnsi="AdvOTf9433e2d" w:cs="AdvOTf9433e2d"/>
                <w:sz w:val="22"/>
                <w:szCs w:val="22"/>
                <w:lang w:val="en-GB"/>
              </w:rPr>
              <w:t>Recent Advances in the Study of Group Cohesion</w:t>
            </w:r>
          </w:p>
          <w:p w14:paraId="49A49856" w14:textId="66D76D99" w:rsidR="00FD26B4" w:rsidRPr="00FD26B4" w:rsidRDefault="00FD26B4" w:rsidP="00FD26B4">
            <w:pPr>
              <w:autoSpaceDE w:val="0"/>
              <w:autoSpaceDN w:val="0"/>
              <w:adjustRightInd w:val="0"/>
              <w:rPr>
                <w:rFonts w:ascii="AdvOTf9433e2d" w:hAnsi="AdvOTf9433e2d" w:cs="AdvOTf9433e2d"/>
                <w:sz w:val="22"/>
                <w:szCs w:val="22"/>
                <w:lang w:val="en-GB"/>
              </w:rPr>
            </w:pPr>
            <w:r w:rsidRPr="00FD26B4">
              <w:rPr>
                <w:rFonts w:ascii="AdvOTf9433e2d" w:hAnsi="AdvOTf9433e2d" w:cs="AdvOTf9433e2d"/>
                <w:sz w:val="22"/>
                <w:szCs w:val="22"/>
                <w:lang w:val="en-GB"/>
              </w:rPr>
              <w:t xml:space="preserve">Group Dynamics: Theory, Research, and Practice. </w:t>
            </w:r>
            <w:r w:rsidRPr="00FD26B4">
              <w:rPr>
                <w:rFonts w:ascii="AdvOTf9433e2d" w:hAnsi="AdvOTf9433e2d" w:cs="AdvOTf9433e2d"/>
                <w:sz w:val="22"/>
                <w:szCs w:val="22"/>
              </w:rPr>
              <w:t>Vol. 25, No. 3, 213</w:t>
            </w:r>
            <w:r w:rsidRPr="00FD26B4">
              <w:rPr>
                <w:rFonts w:ascii="AdvOTf9433e2d+20" w:hAnsi="AdvOTf9433e2d+20" w:cs="AdvOTf9433e2d+20"/>
                <w:sz w:val="22"/>
                <w:szCs w:val="22"/>
              </w:rPr>
              <w:t>–</w:t>
            </w:r>
            <w:r w:rsidRPr="00FD26B4">
              <w:rPr>
                <w:rFonts w:ascii="AdvOTf9433e2d" w:hAnsi="AdvOTf9433e2d" w:cs="AdvOTf9433e2d"/>
                <w:sz w:val="22"/>
                <w:szCs w:val="22"/>
              </w:rPr>
              <w:t>228</w:t>
            </w:r>
          </w:p>
          <w:p w14:paraId="13B08F29" w14:textId="16EB2A27" w:rsidR="00FD26B4" w:rsidRPr="00FD26B4" w:rsidRDefault="00FD26B4" w:rsidP="00FD26B4">
            <w:pPr>
              <w:rPr>
                <w:rFonts w:ascii="AdvOTf9433e2d" w:hAnsi="AdvOTf9433e2d" w:cs="AdvOTf9433e2d"/>
                <w:sz w:val="22"/>
                <w:szCs w:val="22"/>
              </w:rPr>
            </w:pPr>
            <w:r w:rsidRPr="00FD26B4">
              <w:rPr>
                <w:rFonts w:ascii="AdvOTf9433e2d" w:hAnsi="AdvOTf9433e2d" w:cs="AdvOTf9433e2d"/>
                <w:sz w:val="22"/>
                <w:szCs w:val="22"/>
              </w:rPr>
              <w:t xml:space="preserve">ISSN: 1089-2699 </w:t>
            </w:r>
            <w:hyperlink r:id="rId5" w:history="1">
              <w:r w:rsidRPr="00FD26B4">
                <w:rPr>
                  <w:rStyle w:val="Hyperlink"/>
                  <w:rFonts w:ascii="AdvOTf9433e2d" w:hAnsi="AdvOTf9433e2d" w:cs="AdvOTf9433e2d"/>
                  <w:sz w:val="22"/>
                  <w:szCs w:val="22"/>
                </w:rPr>
                <w:t>https://doi.org/10.1037/gdn0000163</w:t>
              </w:r>
            </w:hyperlink>
          </w:p>
          <w:p w14:paraId="6262F2E0" w14:textId="03529F29" w:rsidR="00816A0F" w:rsidRPr="00AA6CBA" w:rsidRDefault="00AA6CBA" w:rsidP="00FD26B4">
            <w:pPr>
              <w:rPr>
                <w:rFonts w:ascii="Calibri" w:hAnsi="Calibri" w:cs="Calibri"/>
                <w:sz w:val="22"/>
                <w:szCs w:val="22"/>
              </w:rPr>
            </w:pPr>
            <w:r w:rsidRPr="00FD26B4">
              <w:rPr>
                <w:rFonts w:ascii="Calibri" w:hAnsi="Calibri" w:cs="Calibri"/>
                <w:sz w:val="22"/>
                <w:szCs w:val="22"/>
              </w:rPr>
              <w:t xml:space="preserve">Verslaggever Willem de </w:t>
            </w:r>
            <w:r w:rsidR="002C254E" w:rsidRPr="00FD26B4">
              <w:rPr>
                <w:rFonts w:ascii="Calibri" w:hAnsi="Calibri" w:cs="Calibri"/>
                <w:sz w:val="22"/>
                <w:szCs w:val="22"/>
              </w:rPr>
              <w:t>Haa</w:t>
            </w:r>
            <w:r w:rsidR="00912459" w:rsidRPr="00FD26B4">
              <w:rPr>
                <w:rFonts w:ascii="Calibri" w:hAnsi="Calibri" w:cs="Calibri"/>
                <w:sz w:val="22"/>
                <w:szCs w:val="22"/>
              </w:rPr>
              <w:t>s</w:t>
            </w:r>
          </w:p>
        </w:tc>
      </w:tr>
      <w:tr w:rsidR="00816A0F" w:rsidRPr="00FD26B4" w14:paraId="2BC9D57A" w14:textId="77777777" w:rsidTr="00425413">
        <w:tc>
          <w:tcPr>
            <w:tcW w:w="9206" w:type="dxa"/>
            <w:gridSpan w:val="2"/>
          </w:tcPr>
          <w:p w14:paraId="6B46A0BE" w14:textId="056EA036" w:rsidR="002C254E" w:rsidRPr="00FD26B4" w:rsidRDefault="002C254E" w:rsidP="002C254E">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Abstract</w:t>
            </w:r>
          </w:p>
          <w:p w14:paraId="22F0518E"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Objective: Group cohesion, as a central explanatory concept in the study of groups, has</w:t>
            </w:r>
          </w:p>
          <w:p w14:paraId="78757BC4"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provided a foundation for explaining a number of group processes that have occupied</w:t>
            </w:r>
          </w:p>
          <w:p w14:paraId="4E19FD79"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researchers’ attention since the founding of the journal Group Dynamics: Theory,</w:t>
            </w:r>
          </w:p>
          <w:p w14:paraId="561DDAC1"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Research, and Practice 25 years ago. Method: This review summarizes that research,</w:t>
            </w:r>
          </w:p>
          <w:p w14:paraId="525E091C"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focusing on three specific topics: group performance, the effectiveness of group</w:t>
            </w:r>
          </w:p>
          <w:p w14:paraId="7C905FB2"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psychotherapy, and group-based identity processes. Results: Theory and research in</w:t>
            </w:r>
          </w:p>
          <w:p w14:paraId="49B4186A"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these areas have yielded substantial insights into cohesion and related group processes,</w:t>
            </w:r>
          </w:p>
          <w:p w14:paraId="1D1971F4"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but definitional, methodological, and theoretical uncertainties remain to be resolved.</w:t>
            </w:r>
          </w:p>
          <w:p w14:paraId="74355024"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Conclusions: Seeking to resolve some of these uncertainties, an integrative model of</w:t>
            </w:r>
          </w:p>
          <w:p w14:paraId="3C505F41"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cohesion that defines cohesion as a group’s degree of unity—and distinguishes between</w:t>
            </w:r>
          </w:p>
          <w:p w14:paraId="726302EC"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the causes (or antecedents) of that unity (such as attraction bonds or group pride) and</w:t>
            </w:r>
          </w:p>
          <w:p w14:paraId="5B740E6B" w14:textId="77777777" w:rsidR="00FD26B4"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indicators of cohesion—is described, as is a short inventory that can be used to assess</w:t>
            </w:r>
          </w:p>
          <w:p w14:paraId="57D89B47" w14:textId="0E5A1449" w:rsidR="00E62A89" w:rsidRPr="00FD26B4" w:rsidRDefault="00FD26B4" w:rsidP="00FD26B4">
            <w:pPr>
              <w:autoSpaceDE w:val="0"/>
              <w:autoSpaceDN w:val="0"/>
              <w:adjustRightInd w:val="0"/>
              <w:rPr>
                <w:rFonts w:ascii="Calibri" w:hAnsi="Calibri" w:cs="Calibri"/>
                <w:sz w:val="22"/>
                <w:szCs w:val="22"/>
                <w:lang w:val="en-GB"/>
              </w:rPr>
            </w:pPr>
            <w:r w:rsidRPr="00FD26B4">
              <w:rPr>
                <w:rFonts w:ascii="Calibri" w:hAnsi="Calibri" w:cs="Calibri"/>
                <w:sz w:val="22"/>
                <w:szCs w:val="22"/>
                <w:lang w:val="en-GB"/>
              </w:rPr>
              <w:t>members’ perceptions of the unity of their groups.</w:t>
            </w:r>
          </w:p>
        </w:tc>
      </w:tr>
      <w:tr w:rsidR="00FD26B4" w:rsidRPr="00FD26B4" w14:paraId="033E1475" w14:textId="77777777" w:rsidTr="00425413">
        <w:tc>
          <w:tcPr>
            <w:tcW w:w="9206" w:type="dxa"/>
            <w:gridSpan w:val="2"/>
          </w:tcPr>
          <w:p w14:paraId="322D6643"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Highlights and Implications</w:t>
            </w:r>
          </w:p>
          <w:p w14:paraId="12B8DB1B"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 The concept of cohesion is central to understanding groups and group</w:t>
            </w:r>
          </w:p>
          <w:p w14:paraId="58BA4837"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processes, and recent research has yielded substantial advances in understanding the</w:t>
            </w:r>
          </w:p>
          <w:p w14:paraId="7D7142AA"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nature, the sources, and the consequences of this key group-level process.</w:t>
            </w:r>
          </w:p>
          <w:p w14:paraId="7D17680B"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 Specifically, recent research provides a clearer understanding of when</w:t>
            </w:r>
          </w:p>
          <w:p w14:paraId="05FF6A9B"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cohesion facilitates team performance, cohesion’s influence on the outcome of group</w:t>
            </w:r>
          </w:p>
          <w:p w14:paraId="32A9727C"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psychotherapy, and the relationship between cohesion and members’ social identities.</w:t>
            </w:r>
          </w:p>
          <w:p w14:paraId="2999BF0A"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 To resolve continuing issues of definition and assessment, an integrative</w:t>
            </w:r>
          </w:p>
          <w:p w14:paraId="0A429AC2"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conceptualization of cohesion, unitary cohesion theory, is described; it defines</w:t>
            </w:r>
          </w:p>
          <w:p w14:paraId="3837B9D4"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cohesion as the unity of a group, and so distinguishes between the causes of</w:t>
            </w:r>
          </w:p>
          <w:p w14:paraId="4CE0BA14"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cohesion, indicators of cohesion, and cohesion itself.</w:t>
            </w:r>
          </w:p>
          <w:p w14:paraId="644F76B7"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 Recommendations for future research include identifying and documenting</w:t>
            </w:r>
          </w:p>
          <w:p w14:paraId="578A486F"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the type of cohesion assessed in specific instruments and using methods</w:t>
            </w:r>
          </w:p>
          <w:p w14:paraId="6F09B120"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that are appropriate when studying a group-level process.</w:t>
            </w:r>
          </w:p>
          <w:p w14:paraId="61DCFA8E"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 A unitary cohesion index is described. This set of bipolar rating scales can</w:t>
            </w:r>
          </w:p>
          <w:p w14:paraId="75850302" w14:textId="77777777" w:rsidR="00FD26B4" w:rsidRPr="002B46F9"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be used to directly assess members’ estimates of their group’s cohesion by separating</w:t>
            </w:r>
          </w:p>
          <w:p w14:paraId="7E89B051" w14:textId="0AD15360" w:rsidR="00FD26B4" w:rsidRPr="00FD26B4" w:rsidRDefault="00FD26B4" w:rsidP="00FD26B4">
            <w:pPr>
              <w:autoSpaceDE w:val="0"/>
              <w:autoSpaceDN w:val="0"/>
              <w:adjustRightInd w:val="0"/>
              <w:rPr>
                <w:rFonts w:ascii="Calibri" w:hAnsi="Calibri" w:cs="Calibri"/>
                <w:sz w:val="22"/>
                <w:szCs w:val="22"/>
                <w:lang w:val="en-GB"/>
              </w:rPr>
            </w:pPr>
            <w:r w:rsidRPr="002B46F9">
              <w:rPr>
                <w:rFonts w:ascii="Calibri" w:hAnsi="Calibri" w:cs="Calibri"/>
                <w:sz w:val="22"/>
                <w:szCs w:val="22"/>
                <w:lang w:val="en-GB"/>
              </w:rPr>
              <w:t>the defining conditions of cohesion from the potential causes of cohesion.</w:t>
            </w:r>
          </w:p>
        </w:tc>
      </w:tr>
      <w:tr w:rsidR="00816A0F" w:rsidRPr="00170572" w14:paraId="1FAFC2C5" w14:textId="77777777" w:rsidTr="00425413">
        <w:tc>
          <w:tcPr>
            <w:tcW w:w="9206" w:type="dxa"/>
            <w:gridSpan w:val="2"/>
          </w:tcPr>
          <w:p w14:paraId="5BC4C9AD" w14:textId="270823A1" w:rsidR="00DB0243" w:rsidRPr="00AA6CBA" w:rsidRDefault="00AA6CBA" w:rsidP="00DB0243">
            <w:pPr>
              <w:rPr>
                <w:rFonts w:ascii="Calibri" w:hAnsi="Calibri" w:cs="Calibri"/>
                <w:sz w:val="22"/>
                <w:szCs w:val="22"/>
              </w:rPr>
            </w:pPr>
            <w:r w:rsidRPr="00AA6CBA">
              <w:rPr>
                <w:rFonts w:ascii="Calibri" w:hAnsi="Calibri" w:cs="Calibri"/>
                <w:sz w:val="22"/>
                <w:szCs w:val="22"/>
              </w:rPr>
              <w:t>Wat</w:t>
            </w:r>
            <w:r w:rsidR="00DB0243" w:rsidRPr="00AA6CBA">
              <w:rPr>
                <w:rFonts w:ascii="Calibri" w:hAnsi="Calibri" w:cs="Calibri"/>
                <w:sz w:val="22"/>
                <w:szCs w:val="22"/>
              </w:rPr>
              <w:t xml:space="preserve"> b</w:t>
            </w:r>
            <w:r w:rsidR="00DB0243">
              <w:rPr>
                <w:rFonts w:ascii="Calibri" w:hAnsi="Calibri" w:cs="Calibri"/>
                <w:sz w:val="22"/>
                <w:szCs w:val="22"/>
              </w:rPr>
              <w:t>etekent dit voor de groeps</w:t>
            </w:r>
            <w:r w:rsidR="00DB0243" w:rsidRPr="00AA6CBA">
              <w:rPr>
                <w:rFonts w:ascii="Calibri" w:hAnsi="Calibri" w:cs="Calibri"/>
                <w:sz w:val="22"/>
                <w:szCs w:val="22"/>
              </w:rPr>
              <w:t>therapie en de NVGP</w:t>
            </w:r>
          </w:p>
          <w:p w14:paraId="118EEF72" w14:textId="00755063" w:rsidR="00211E01" w:rsidRDefault="002B46F9" w:rsidP="00DB0243">
            <w:pPr>
              <w:rPr>
                <w:rFonts w:ascii="Calibri" w:hAnsi="Calibri" w:cs="Calibri"/>
                <w:sz w:val="22"/>
                <w:szCs w:val="22"/>
              </w:rPr>
            </w:pPr>
            <w:r>
              <w:rPr>
                <w:rFonts w:ascii="Calibri" w:hAnsi="Calibri" w:cs="Calibri"/>
                <w:sz w:val="22"/>
                <w:szCs w:val="22"/>
              </w:rPr>
              <w:t xml:space="preserve">Eindelijk weer een theoretische review over het onderwerp cohesie, vanuit het perspectief van de theorie van de groepsdynamica. De vorige review van betekenis stamt uit 2000 (Dion*). De auteur maakt wat mij betreft de verwachto9ngen niet helemaal waar. Hij belooft een nieuwe algemene definitie, maar eindigt toch ook weer in een </w:t>
            </w:r>
            <w:proofErr w:type="spellStart"/>
            <w:r>
              <w:rPr>
                <w:rFonts w:ascii="Calibri" w:hAnsi="Calibri" w:cs="Calibri"/>
                <w:sz w:val="22"/>
                <w:szCs w:val="22"/>
              </w:rPr>
              <w:t>multi</w:t>
            </w:r>
            <w:r w:rsidR="002158CF">
              <w:rPr>
                <w:rFonts w:ascii="Calibri" w:hAnsi="Calibri" w:cs="Calibri"/>
                <w:sz w:val="22"/>
                <w:szCs w:val="22"/>
              </w:rPr>
              <w:t>dim</w:t>
            </w:r>
            <w:r>
              <w:rPr>
                <w:rFonts w:ascii="Calibri" w:hAnsi="Calibri" w:cs="Calibri"/>
                <w:sz w:val="22"/>
                <w:szCs w:val="22"/>
              </w:rPr>
              <w:t>ensioneel</w:t>
            </w:r>
            <w:proofErr w:type="spellEnd"/>
            <w:r>
              <w:rPr>
                <w:rFonts w:ascii="Calibri" w:hAnsi="Calibri" w:cs="Calibri"/>
                <w:sz w:val="22"/>
                <w:szCs w:val="22"/>
              </w:rPr>
              <w:t xml:space="preserve"> verhaal met verschillende soorten cohesie. Hel</w:t>
            </w:r>
            <w:r w:rsidR="002158CF">
              <w:rPr>
                <w:rFonts w:ascii="Calibri" w:hAnsi="Calibri" w:cs="Calibri"/>
                <w:sz w:val="22"/>
                <w:szCs w:val="22"/>
              </w:rPr>
              <w:t>e</w:t>
            </w:r>
            <w:r>
              <w:rPr>
                <w:rFonts w:ascii="Calibri" w:hAnsi="Calibri" w:cs="Calibri"/>
                <w:sz w:val="22"/>
                <w:szCs w:val="22"/>
              </w:rPr>
              <w:t>maal onbegrijpelijk is dat niet. Cohesie is een van de belangrijkste maar ook moeilijkste begrippen uit de groepsdynamische theorie.</w:t>
            </w:r>
            <w:r w:rsidR="00F415D2">
              <w:rPr>
                <w:rFonts w:ascii="Calibri" w:hAnsi="Calibri" w:cs="Calibri"/>
                <w:sz w:val="22"/>
                <w:szCs w:val="22"/>
              </w:rPr>
              <w:t xml:space="preserve"> Het is nog steeds niet uitontwikkeld. Ook niet na dit overzicht zegt ook de auteur, die we overigens kennen van zijn Leer en lesboek ‘Group Dynamics’. Om de vier jaar komt Forsyth met een nieuwe uitgave van dit boek waarin alle groepsdynamische onderwerpen en de research daarover op een rij zijn gezet. Op zich een prestatie van formaat**. Met dit artikel wou hij zelf ook een keer onderzoeker zijn</w:t>
            </w:r>
          </w:p>
          <w:p w14:paraId="0165EB1E" w14:textId="77777777" w:rsidR="002B46F9" w:rsidRDefault="002B46F9" w:rsidP="00DB0243">
            <w:pPr>
              <w:rPr>
                <w:rFonts w:ascii="Calibri" w:hAnsi="Calibri" w:cs="Calibri"/>
                <w:sz w:val="22"/>
                <w:szCs w:val="22"/>
              </w:rPr>
            </w:pPr>
          </w:p>
          <w:p w14:paraId="4FBD08A4" w14:textId="58300C85" w:rsidR="002B46F9" w:rsidRPr="00170572" w:rsidRDefault="002B46F9" w:rsidP="002B46F9">
            <w:pPr>
              <w:autoSpaceDE w:val="0"/>
              <w:autoSpaceDN w:val="0"/>
              <w:adjustRightInd w:val="0"/>
              <w:rPr>
                <w:rFonts w:ascii="Calibri" w:hAnsi="Calibri" w:cs="Calibri"/>
                <w:sz w:val="18"/>
                <w:szCs w:val="18"/>
                <w:lang w:val="en-GB"/>
              </w:rPr>
            </w:pPr>
            <w:r w:rsidRPr="00170572">
              <w:rPr>
                <w:rFonts w:ascii="Calibri" w:hAnsi="Calibri" w:cs="Calibri"/>
                <w:sz w:val="18"/>
                <w:szCs w:val="18"/>
                <w:lang w:val="en-GB"/>
              </w:rPr>
              <w:t>*Dion, K. L. (2000). Group cohesion: From “field of forces” to multidimensional construct. Group Dynamics,</w:t>
            </w:r>
          </w:p>
          <w:p w14:paraId="77923FFC" w14:textId="2CAA5765" w:rsidR="002B46F9" w:rsidRPr="00170572" w:rsidRDefault="002B46F9" w:rsidP="002B46F9">
            <w:pPr>
              <w:rPr>
                <w:rFonts w:ascii="Calibri" w:hAnsi="Calibri" w:cs="Calibri"/>
                <w:sz w:val="18"/>
                <w:szCs w:val="18"/>
                <w:lang w:val="en-GB"/>
              </w:rPr>
            </w:pPr>
            <w:r w:rsidRPr="00170572">
              <w:rPr>
                <w:rFonts w:ascii="Calibri" w:hAnsi="Calibri" w:cs="Calibri"/>
                <w:sz w:val="18"/>
                <w:szCs w:val="18"/>
              </w:rPr>
              <w:t xml:space="preserve">4, 7–26. </w:t>
            </w:r>
            <w:hyperlink r:id="rId6" w:history="1">
              <w:r w:rsidR="00170572" w:rsidRPr="00170572">
                <w:rPr>
                  <w:rStyle w:val="Hyperlink"/>
                  <w:rFonts w:ascii="Calibri" w:hAnsi="Calibri" w:cs="Calibri"/>
                  <w:sz w:val="18"/>
                  <w:szCs w:val="18"/>
                  <w:lang w:val="en-GB"/>
                </w:rPr>
                <w:t>https://doi.org/10.1037/1089-2699.4.1.7</w:t>
              </w:r>
            </w:hyperlink>
          </w:p>
          <w:p w14:paraId="5EACA12A" w14:textId="7C6D6F31" w:rsidR="00170572" w:rsidRPr="00170572" w:rsidRDefault="00170572" w:rsidP="00170572">
            <w:pPr>
              <w:pStyle w:val="Kop1"/>
              <w:rPr>
                <w:rFonts w:ascii="Calibri" w:eastAsia="Times New Roman" w:hAnsi="Calibri" w:cs="Calibri"/>
                <w:color w:val="auto"/>
                <w:kern w:val="36"/>
                <w:sz w:val="18"/>
                <w:szCs w:val="18"/>
                <w:lang w:val="en-GB"/>
              </w:rPr>
            </w:pPr>
            <w:r w:rsidRPr="00170572">
              <w:rPr>
                <w:rFonts w:ascii="Calibri" w:hAnsi="Calibri" w:cs="Calibri"/>
                <w:color w:val="auto"/>
                <w:sz w:val="18"/>
                <w:szCs w:val="18"/>
                <w:lang w:val="en-GB"/>
              </w:rPr>
              <w:t>**</w:t>
            </w:r>
            <w:hyperlink r:id="rId7" w:history="1">
              <w:r w:rsidRPr="00170572">
                <w:rPr>
                  <w:rFonts w:ascii="Calibri" w:eastAsia="Times New Roman" w:hAnsi="Calibri" w:cs="Calibri"/>
                  <w:color w:val="auto"/>
                  <w:sz w:val="18"/>
                  <w:szCs w:val="18"/>
                  <w:lang w:val="en-GB"/>
                </w:rPr>
                <w:t>Forsyth</w:t>
              </w:r>
            </w:hyperlink>
            <w:r w:rsidRPr="00170572">
              <w:rPr>
                <w:rFonts w:ascii="Calibri" w:eastAsia="Times New Roman" w:hAnsi="Calibri" w:cs="Calibri"/>
                <w:color w:val="auto"/>
                <w:sz w:val="18"/>
                <w:szCs w:val="18"/>
                <w:lang w:val="en-GB"/>
              </w:rPr>
              <w:t xml:space="preserve">, D. R. (2022). </w:t>
            </w:r>
            <w:r w:rsidRPr="00170572">
              <w:rPr>
                <w:rFonts w:ascii="Calibri" w:eastAsia="Times New Roman" w:hAnsi="Calibri" w:cs="Calibri"/>
                <w:color w:val="auto"/>
                <w:kern w:val="36"/>
                <w:sz w:val="18"/>
                <w:szCs w:val="18"/>
                <w:lang w:val="en-GB"/>
              </w:rPr>
              <w:t>Group Dynamics 7th Edition.</w:t>
            </w:r>
            <w:r w:rsidR="002158CF">
              <w:rPr>
                <w:rFonts w:ascii="Calibri" w:eastAsia="Times New Roman" w:hAnsi="Calibri" w:cs="Calibri"/>
                <w:color w:val="auto"/>
                <w:kern w:val="36"/>
                <w:sz w:val="18"/>
                <w:szCs w:val="18"/>
                <w:lang w:val="en-GB"/>
              </w:rPr>
              <w:t xml:space="preserve"> Cengage, Boston</w:t>
            </w:r>
          </w:p>
        </w:tc>
      </w:tr>
      <w:tr w:rsidR="00816A0F" w:rsidRPr="00AA6CBA" w14:paraId="0FD2867F" w14:textId="77777777" w:rsidTr="00425413">
        <w:tc>
          <w:tcPr>
            <w:tcW w:w="6629" w:type="dxa"/>
          </w:tcPr>
          <w:p w14:paraId="34CFB25E" w14:textId="77777777" w:rsidR="00816A0F" w:rsidRPr="00AA6CBA" w:rsidRDefault="00816A0F" w:rsidP="00425413">
            <w:pPr>
              <w:widowControl w:val="0"/>
              <w:tabs>
                <w:tab w:val="left" w:pos="220"/>
                <w:tab w:val="left" w:pos="720"/>
              </w:tabs>
              <w:autoSpaceDE w:val="0"/>
              <w:autoSpaceDN w:val="0"/>
              <w:adjustRightInd w:val="0"/>
              <w:rPr>
                <w:rFonts w:ascii="Calibri" w:hAnsi="Calibri" w:cs="Calibri"/>
                <w:sz w:val="22"/>
                <w:szCs w:val="22"/>
                <w:lang w:val="en-US"/>
              </w:rPr>
            </w:pPr>
            <w:proofErr w:type="spellStart"/>
            <w:r w:rsidRPr="00AA6CBA">
              <w:rPr>
                <w:rFonts w:ascii="Calibri" w:hAnsi="Calibri" w:cs="Calibri"/>
                <w:sz w:val="22"/>
                <w:szCs w:val="22"/>
                <w:lang w:val="en-US"/>
              </w:rPr>
              <w:t>Relevantie</w:t>
            </w:r>
            <w:proofErr w:type="spellEnd"/>
            <w:r w:rsidRPr="00AA6CBA">
              <w:rPr>
                <w:rFonts w:ascii="Calibri" w:hAnsi="Calibri" w:cs="Calibri"/>
                <w:sz w:val="22"/>
                <w:szCs w:val="22"/>
                <w:lang w:val="en-US"/>
              </w:rPr>
              <w:t xml:space="preserve"> voor </w:t>
            </w:r>
            <w:proofErr w:type="spellStart"/>
            <w:r w:rsidRPr="00AA6CBA">
              <w:rPr>
                <w:rFonts w:ascii="Calibri" w:hAnsi="Calibri" w:cs="Calibri"/>
                <w:sz w:val="22"/>
                <w:szCs w:val="22"/>
                <w:lang w:val="en-US"/>
              </w:rPr>
              <w:t>richtlijnen</w:t>
            </w:r>
            <w:proofErr w:type="spellEnd"/>
          </w:p>
        </w:tc>
        <w:tc>
          <w:tcPr>
            <w:tcW w:w="2577" w:type="dxa"/>
          </w:tcPr>
          <w:p w14:paraId="1EFA9FD6" w14:textId="4CFD74EF" w:rsidR="00816A0F" w:rsidRPr="00AA6CBA" w:rsidRDefault="00AA6CBA" w:rsidP="00425413">
            <w:pPr>
              <w:widowControl w:val="0"/>
              <w:tabs>
                <w:tab w:val="left" w:pos="220"/>
                <w:tab w:val="left" w:pos="720"/>
              </w:tabs>
              <w:autoSpaceDE w:val="0"/>
              <w:autoSpaceDN w:val="0"/>
              <w:adjustRightInd w:val="0"/>
              <w:rPr>
                <w:rFonts w:ascii="Calibri" w:hAnsi="Calibri" w:cs="Calibri"/>
                <w:sz w:val="22"/>
                <w:szCs w:val="22"/>
                <w:lang w:val="en-US"/>
              </w:rPr>
            </w:pPr>
            <w:r w:rsidRPr="00AA6CBA">
              <w:rPr>
                <w:rFonts w:ascii="Calibri" w:hAnsi="Calibri" w:cs="Calibri"/>
                <w:noProof/>
                <w:sz w:val="22"/>
                <w:szCs w:val="22"/>
                <w:lang w:val="en-US"/>
              </w:rPr>
              <w:drawing>
                <wp:inline distT="0" distB="0" distL="0" distR="0" wp14:anchorId="1A93EAA5" wp14:editId="379D78B6">
                  <wp:extent cx="106045" cy="112395"/>
                  <wp:effectExtent l="19050" t="0" r="8255" b="0"/>
                  <wp:docPr id="9" name="Afbeelding 9"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341F0E">
              <w:rPr>
                <w:rFonts w:ascii="Calibri" w:hAnsi="Calibri" w:cs="Calibri"/>
                <w:sz w:val="22"/>
                <w:szCs w:val="22"/>
                <w:lang w:val="en-US"/>
              </w:rPr>
              <w:t xml:space="preserve"> O </w:t>
            </w:r>
            <w:proofErr w:type="spellStart"/>
            <w:r w:rsidR="00341F0E">
              <w:rPr>
                <w:rFonts w:ascii="Calibri" w:hAnsi="Calibri" w:cs="Calibri"/>
                <w:sz w:val="22"/>
                <w:szCs w:val="22"/>
                <w:lang w:val="en-US"/>
              </w:rPr>
              <w:t>O</w:t>
            </w:r>
            <w:proofErr w:type="spellEnd"/>
            <w:r w:rsidR="00341F0E">
              <w:rPr>
                <w:rFonts w:ascii="Calibri" w:hAnsi="Calibri" w:cs="Calibri"/>
                <w:sz w:val="22"/>
                <w:szCs w:val="22"/>
                <w:lang w:val="en-US"/>
              </w:rPr>
              <w:t xml:space="preserve"> </w:t>
            </w:r>
            <w:proofErr w:type="spellStart"/>
            <w:r w:rsidR="00341F0E">
              <w:rPr>
                <w:rFonts w:ascii="Calibri" w:hAnsi="Calibri" w:cs="Calibri"/>
                <w:sz w:val="22"/>
                <w:szCs w:val="22"/>
                <w:lang w:val="en-US"/>
              </w:rPr>
              <w:t>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O</w:t>
            </w:r>
            <w:proofErr w:type="spellEnd"/>
            <w:r w:rsidRPr="00AA6CBA">
              <w:rPr>
                <w:rFonts w:ascii="Calibri" w:hAnsi="Calibri" w:cs="Calibri"/>
                <w:sz w:val="22"/>
                <w:szCs w:val="22"/>
                <w:lang w:val="en-US"/>
              </w:rPr>
              <w:t xml:space="preserve"> </w:t>
            </w:r>
          </w:p>
        </w:tc>
      </w:tr>
      <w:tr w:rsidR="00816A0F" w:rsidRPr="00AA6CBA" w14:paraId="3A027008" w14:textId="77777777" w:rsidTr="00425413">
        <w:tc>
          <w:tcPr>
            <w:tcW w:w="6629" w:type="dxa"/>
          </w:tcPr>
          <w:p w14:paraId="1A7E80FE" w14:textId="77777777" w:rsidR="00816A0F" w:rsidRPr="00AA6CBA" w:rsidRDefault="00816A0F" w:rsidP="00425413">
            <w:pPr>
              <w:widowControl w:val="0"/>
              <w:tabs>
                <w:tab w:val="left" w:pos="220"/>
                <w:tab w:val="left" w:pos="720"/>
              </w:tabs>
              <w:autoSpaceDE w:val="0"/>
              <w:autoSpaceDN w:val="0"/>
              <w:adjustRightInd w:val="0"/>
              <w:rPr>
                <w:rFonts w:ascii="Calibri" w:hAnsi="Calibri" w:cs="Calibri"/>
                <w:sz w:val="22"/>
                <w:szCs w:val="22"/>
                <w:lang w:val="en-US"/>
              </w:rPr>
            </w:pPr>
            <w:proofErr w:type="spellStart"/>
            <w:r w:rsidRPr="00AA6CBA">
              <w:rPr>
                <w:rFonts w:ascii="Calibri" w:hAnsi="Calibri" w:cs="Calibri"/>
                <w:sz w:val="22"/>
                <w:szCs w:val="22"/>
                <w:lang w:val="en-US"/>
              </w:rPr>
              <w:lastRenderedPageBreak/>
              <w:t>Relevantie</w:t>
            </w:r>
            <w:proofErr w:type="spellEnd"/>
            <w:r w:rsidRPr="00AA6CBA">
              <w:rPr>
                <w:rFonts w:ascii="Calibri" w:hAnsi="Calibri" w:cs="Calibri"/>
                <w:sz w:val="22"/>
                <w:szCs w:val="22"/>
                <w:lang w:val="en-US"/>
              </w:rPr>
              <w:t xml:space="preserve"> voor </w:t>
            </w:r>
            <w:proofErr w:type="spellStart"/>
            <w:r w:rsidRPr="00AA6CBA">
              <w:rPr>
                <w:rFonts w:ascii="Calibri" w:hAnsi="Calibri" w:cs="Calibri"/>
                <w:sz w:val="22"/>
                <w:szCs w:val="22"/>
                <w:lang w:val="en-US"/>
              </w:rPr>
              <w:t>onderzoek</w:t>
            </w:r>
            <w:proofErr w:type="spellEnd"/>
          </w:p>
        </w:tc>
        <w:tc>
          <w:tcPr>
            <w:tcW w:w="2577" w:type="dxa"/>
          </w:tcPr>
          <w:p w14:paraId="0227555D" w14:textId="62ABC77D" w:rsidR="00816A0F" w:rsidRPr="00AA6CBA" w:rsidRDefault="00CE1204" w:rsidP="00CE1204">
            <w:pPr>
              <w:widowControl w:val="0"/>
              <w:tabs>
                <w:tab w:val="left" w:pos="220"/>
                <w:tab w:val="left" w:pos="720"/>
              </w:tabs>
              <w:autoSpaceDE w:val="0"/>
              <w:autoSpaceDN w:val="0"/>
              <w:adjustRightInd w:val="0"/>
              <w:rPr>
                <w:rFonts w:ascii="Calibri" w:hAnsi="Calibri" w:cs="Calibri"/>
                <w:sz w:val="22"/>
                <w:szCs w:val="22"/>
                <w:lang w:val="en-US"/>
              </w:rPr>
            </w:pPr>
            <w:r w:rsidRPr="00AA6CBA">
              <w:rPr>
                <w:rFonts w:ascii="Calibri" w:hAnsi="Calibri" w:cs="Calibri"/>
                <w:noProof/>
                <w:sz w:val="22"/>
                <w:szCs w:val="22"/>
                <w:lang w:val="en-US"/>
              </w:rPr>
              <w:drawing>
                <wp:inline distT="0" distB="0" distL="0" distR="0" wp14:anchorId="016EF8AE" wp14:editId="1946DB9E">
                  <wp:extent cx="106045" cy="112395"/>
                  <wp:effectExtent l="19050" t="0" r="8255" b="0"/>
                  <wp:docPr id="1"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2471D3">
              <w:rPr>
                <w:rFonts w:ascii="Calibri" w:hAnsi="Calibri" w:cs="Calibri"/>
                <w:sz w:val="22"/>
                <w:szCs w:val="22"/>
                <w:lang w:val="en-US"/>
              </w:rPr>
              <w:t xml:space="preserve"> </w:t>
            </w:r>
            <w:r w:rsidR="00170572" w:rsidRPr="00AA6CBA">
              <w:rPr>
                <w:rFonts w:ascii="Calibri" w:hAnsi="Calibri" w:cs="Calibri"/>
                <w:noProof/>
                <w:sz w:val="22"/>
                <w:szCs w:val="22"/>
                <w:lang w:val="en-US"/>
              </w:rPr>
              <w:drawing>
                <wp:inline distT="0" distB="0" distL="0" distR="0" wp14:anchorId="0B72F872" wp14:editId="54B1F425">
                  <wp:extent cx="106045" cy="112395"/>
                  <wp:effectExtent l="19050" t="0" r="8255" b="0"/>
                  <wp:docPr id="27"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170572" w:rsidRPr="00AA6CBA">
              <w:rPr>
                <w:rFonts w:ascii="Calibri" w:hAnsi="Calibri" w:cs="Calibri"/>
                <w:noProof/>
                <w:sz w:val="22"/>
                <w:szCs w:val="22"/>
                <w:lang w:val="en-US"/>
              </w:rPr>
              <w:drawing>
                <wp:inline distT="0" distB="0" distL="0" distR="0" wp14:anchorId="53636D30" wp14:editId="2860A7E0">
                  <wp:extent cx="106045" cy="112395"/>
                  <wp:effectExtent l="19050" t="0" r="8255" b="0"/>
                  <wp:docPr id="22"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170572" w:rsidRPr="00AA6CBA">
              <w:rPr>
                <w:rFonts w:ascii="Calibri" w:hAnsi="Calibri" w:cs="Calibri"/>
                <w:noProof/>
                <w:sz w:val="22"/>
                <w:szCs w:val="22"/>
                <w:lang w:val="en-US"/>
              </w:rPr>
              <w:drawing>
                <wp:inline distT="0" distB="0" distL="0" distR="0" wp14:anchorId="1F150342" wp14:editId="042ACE60">
                  <wp:extent cx="106045" cy="112395"/>
                  <wp:effectExtent l="19050" t="0" r="8255" b="0"/>
                  <wp:docPr id="23"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170572" w:rsidRPr="00AA6CBA">
              <w:rPr>
                <w:rFonts w:ascii="Calibri" w:hAnsi="Calibri" w:cs="Calibri"/>
                <w:noProof/>
                <w:sz w:val="22"/>
                <w:szCs w:val="22"/>
                <w:lang w:val="en-US"/>
              </w:rPr>
              <w:t xml:space="preserve"> </w:t>
            </w:r>
            <w:r w:rsidR="003825AB">
              <w:rPr>
                <w:rFonts w:ascii="Calibri" w:hAnsi="Calibri" w:cs="Calibri"/>
                <w:sz w:val="22"/>
                <w:szCs w:val="22"/>
                <w:lang w:val="en-US"/>
              </w:rPr>
              <w:t>O</w:t>
            </w:r>
          </w:p>
        </w:tc>
      </w:tr>
      <w:tr w:rsidR="00816A0F" w:rsidRPr="00AA6CBA" w14:paraId="1FBD0A76" w14:textId="77777777" w:rsidTr="00425413">
        <w:tc>
          <w:tcPr>
            <w:tcW w:w="6629" w:type="dxa"/>
          </w:tcPr>
          <w:p w14:paraId="0A90B2F0" w14:textId="77777777" w:rsidR="00816A0F" w:rsidRPr="00AA6CBA" w:rsidRDefault="00816A0F" w:rsidP="00425413">
            <w:pPr>
              <w:widowControl w:val="0"/>
              <w:tabs>
                <w:tab w:val="left" w:pos="220"/>
                <w:tab w:val="left" w:pos="720"/>
              </w:tabs>
              <w:autoSpaceDE w:val="0"/>
              <w:autoSpaceDN w:val="0"/>
              <w:adjustRightInd w:val="0"/>
              <w:rPr>
                <w:rFonts w:ascii="Calibri" w:hAnsi="Calibri" w:cs="Calibri"/>
                <w:sz w:val="22"/>
                <w:szCs w:val="22"/>
                <w:lang w:val="en-US"/>
              </w:rPr>
            </w:pPr>
            <w:proofErr w:type="spellStart"/>
            <w:r w:rsidRPr="00AA6CBA">
              <w:rPr>
                <w:rFonts w:ascii="Calibri" w:hAnsi="Calibri" w:cs="Calibri"/>
                <w:sz w:val="22"/>
                <w:szCs w:val="22"/>
                <w:lang w:val="en-US"/>
              </w:rPr>
              <w:t>Relevantie</w:t>
            </w:r>
            <w:proofErr w:type="spellEnd"/>
            <w:r w:rsidRPr="00AA6CBA">
              <w:rPr>
                <w:rFonts w:ascii="Calibri" w:hAnsi="Calibri" w:cs="Calibri"/>
                <w:sz w:val="22"/>
                <w:szCs w:val="22"/>
                <w:lang w:val="en-US"/>
              </w:rPr>
              <w:t xml:space="preserve"> voor </w:t>
            </w:r>
            <w:proofErr w:type="spellStart"/>
            <w:r w:rsidRPr="00AA6CBA">
              <w:rPr>
                <w:rFonts w:ascii="Calibri" w:hAnsi="Calibri" w:cs="Calibri"/>
                <w:sz w:val="22"/>
                <w:szCs w:val="22"/>
                <w:lang w:val="en-US"/>
              </w:rPr>
              <w:t>groepsbehandeling</w:t>
            </w:r>
            <w:proofErr w:type="spellEnd"/>
          </w:p>
        </w:tc>
        <w:tc>
          <w:tcPr>
            <w:tcW w:w="2577" w:type="dxa"/>
          </w:tcPr>
          <w:p w14:paraId="6C2D4500" w14:textId="4E4520E1" w:rsidR="00816A0F" w:rsidRPr="00AA6CBA" w:rsidRDefault="001D7C8A" w:rsidP="00425413">
            <w:pPr>
              <w:widowControl w:val="0"/>
              <w:tabs>
                <w:tab w:val="left" w:pos="220"/>
                <w:tab w:val="left" w:pos="720"/>
              </w:tabs>
              <w:autoSpaceDE w:val="0"/>
              <w:autoSpaceDN w:val="0"/>
              <w:adjustRightInd w:val="0"/>
              <w:rPr>
                <w:rFonts w:ascii="Calibri" w:hAnsi="Calibri" w:cs="Calibri"/>
                <w:sz w:val="22"/>
                <w:szCs w:val="22"/>
                <w:lang w:val="en-US"/>
              </w:rPr>
            </w:pPr>
            <w:r w:rsidRPr="00AA6CBA">
              <w:rPr>
                <w:rFonts w:ascii="Calibri" w:hAnsi="Calibri" w:cs="Calibri"/>
                <w:noProof/>
                <w:sz w:val="22"/>
                <w:szCs w:val="22"/>
                <w:lang w:val="en-US"/>
              </w:rPr>
              <w:drawing>
                <wp:inline distT="0" distB="0" distL="0" distR="0" wp14:anchorId="4EE71933" wp14:editId="12BE8CED">
                  <wp:extent cx="106045" cy="112395"/>
                  <wp:effectExtent l="19050" t="0" r="8255" b="0"/>
                  <wp:docPr id="6"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2471D3">
              <w:rPr>
                <w:rFonts w:ascii="Calibri" w:hAnsi="Calibri" w:cs="Calibri"/>
                <w:sz w:val="22"/>
                <w:szCs w:val="22"/>
                <w:lang w:val="en-US"/>
              </w:rPr>
              <w:t xml:space="preserve"> </w:t>
            </w:r>
            <w:r w:rsidRPr="00AA6CBA">
              <w:rPr>
                <w:rFonts w:ascii="Calibri" w:hAnsi="Calibri" w:cs="Calibri"/>
                <w:noProof/>
                <w:sz w:val="22"/>
                <w:szCs w:val="22"/>
                <w:lang w:val="en-US"/>
              </w:rPr>
              <w:drawing>
                <wp:inline distT="0" distB="0" distL="0" distR="0" wp14:anchorId="7FF73EAA" wp14:editId="4B2BEE80">
                  <wp:extent cx="106045" cy="112395"/>
                  <wp:effectExtent l="19050" t="0" r="8255" b="0"/>
                  <wp:docPr id="7"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Pr="00AA6CBA">
              <w:rPr>
                <w:rFonts w:ascii="Calibri" w:hAnsi="Calibri" w:cs="Calibri"/>
                <w:noProof/>
                <w:sz w:val="22"/>
                <w:szCs w:val="22"/>
                <w:lang w:val="en-US"/>
              </w:rPr>
              <w:drawing>
                <wp:inline distT="0" distB="0" distL="0" distR="0" wp14:anchorId="3FD2823D" wp14:editId="09DB4018">
                  <wp:extent cx="106045" cy="112395"/>
                  <wp:effectExtent l="19050" t="0" r="8255" b="0"/>
                  <wp:docPr id="8"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341F0E" w:rsidRPr="00AA6CBA">
              <w:rPr>
                <w:rFonts w:ascii="Calibri" w:hAnsi="Calibri" w:cs="Calibri"/>
                <w:noProof/>
                <w:sz w:val="22"/>
                <w:szCs w:val="22"/>
                <w:lang w:val="en-US"/>
              </w:rPr>
              <w:drawing>
                <wp:inline distT="0" distB="0" distL="0" distR="0" wp14:anchorId="003B88F9" wp14:editId="07026F88">
                  <wp:extent cx="106045" cy="112395"/>
                  <wp:effectExtent l="19050" t="0" r="8255" b="0"/>
                  <wp:docPr id="19"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Pr="00AA6CBA">
              <w:rPr>
                <w:rFonts w:ascii="Calibri" w:hAnsi="Calibri" w:cs="Calibri"/>
                <w:noProof/>
                <w:sz w:val="22"/>
                <w:szCs w:val="22"/>
                <w:lang w:val="en-US"/>
              </w:rPr>
              <w:t xml:space="preserve"> </w:t>
            </w:r>
            <w:r w:rsidR="00170572">
              <w:rPr>
                <w:rFonts w:ascii="Calibri" w:hAnsi="Calibri" w:cs="Calibri"/>
                <w:sz w:val="22"/>
                <w:szCs w:val="22"/>
                <w:lang w:val="en-US"/>
              </w:rPr>
              <w:t xml:space="preserve">O </w:t>
            </w:r>
          </w:p>
        </w:tc>
      </w:tr>
      <w:tr w:rsidR="00816A0F" w:rsidRPr="00AA6CBA" w14:paraId="0D9D6943" w14:textId="77777777" w:rsidTr="00425413">
        <w:tc>
          <w:tcPr>
            <w:tcW w:w="6629" w:type="dxa"/>
          </w:tcPr>
          <w:p w14:paraId="32471547" w14:textId="77777777" w:rsidR="00816A0F" w:rsidRPr="00AA6CBA" w:rsidRDefault="00816A0F" w:rsidP="00425413">
            <w:pPr>
              <w:widowControl w:val="0"/>
              <w:tabs>
                <w:tab w:val="left" w:pos="220"/>
                <w:tab w:val="left" w:pos="720"/>
              </w:tabs>
              <w:autoSpaceDE w:val="0"/>
              <w:autoSpaceDN w:val="0"/>
              <w:adjustRightInd w:val="0"/>
              <w:rPr>
                <w:rFonts w:ascii="Calibri" w:hAnsi="Calibri" w:cs="Calibri"/>
                <w:sz w:val="22"/>
                <w:szCs w:val="22"/>
                <w:lang w:val="en-US"/>
              </w:rPr>
            </w:pPr>
            <w:proofErr w:type="spellStart"/>
            <w:r w:rsidRPr="00AA6CBA">
              <w:rPr>
                <w:rFonts w:ascii="Calibri" w:hAnsi="Calibri" w:cs="Calibri"/>
                <w:sz w:val="22"/>
                <w:szCs w:val="22"/>
                <w:lang w:val="en-US"/>
              </w:rPr>
              <w:t>Relevantie</w:t>
            </w:r>
            <w:proofErr w:type="spellEnd"/>
            <w:r w:rsidRPr="00AA6CBA">
              <w:rPr>
                <w:rFonts w:ascii="Calibri" w:hAnsi="Calibri" w:cs="Calibri"/>
                <w:sz w:val="22"/>
                <w:szCs w:val="22"/>
                <w:lang w:val="en-US"/>
              </w:rPr>
              <w:t xml:space="preserve"> voor </w:t>
            </w:r>
            <w:proofErr w:type="spellStart"/>
            <w:r w:rsidRPr="00AA6CBA">
              <w:rPr>
                <w:rFonts w:ascii="Calibri" w:hAnsi="Calibri" w:cs="Calibri"/>
                <w:sz w:val="22"/>
                <w:szCs w:val="22"/>
                <w:lang w:val="en-US"/>
              </w:rPr>
              <w:t>teamcoaching</w:t>
            </w:r>
            <w:proofErr w:type="spellEnd"/>
          </w:p>
        </w:tc>
        <w:tc>
          <w:tcPr>
            <w:tcW w:w="2577" w:type="dxa"/>
          </w:tcPr>
          <w:p w14:paraId="6C081869" w14:textId="4D0B35EC" w:rsidR="00816A0F" w:rsidRPr="00AA6CBA" w:rsidRDefault="003825AB" w:rsidP="00CE1204">
            <w:pPr>
              <w:widowControl w:val="0"/>
              <w:tabs>
                <w:tab w:val="left" w:pos="220"/>
                <w:tab w:val="left" w:pos="720"/>
              </w:tabs>
              <w:autoSpaceDE w:val="0"/>
              <w:autoSpaceDN w:val="0"/>
              <w:adjustRightInd w:val="0"/>
              <w:rPr>
                <w:rFonts w:ascii="Calibri" w:eastAsia="MS Gothic" w:hAnsi="Calibri" w:cs="Calibri"/>
                <w:color w:val="000000"/>
                <w:sz w:val="22"/>
                <w:szCs w:val="22"/>
              </w:rPr>
            </w:pPr>
            <w:r w:rsidRPr="00AA6CBA">
              <w:rPr>
                <w:rFonts w:ascii="Calibri" w:hAnsi="Calibri" w:cs="Calibri"/>
                <w:noProof/>
                <w:sz w:val="22"/>
                <w:szCs w:val="22"/>
                <w:lang w:val="en-US"/>
              </w:rPr>
              <w:drawing>
                <wp:inline distT="0" distB="0" distL="0" distR="0" wp14:anchorId="6E2F129A" wp14:editId="1EE9995B">
                  <wp:extent cx="106045" cy="112395"/>
                  <wp:effectExtent l="19050" t="0" r="8255" b="0"/>
                  <wp:docPr id="3"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1D7C8A" w:rsidRPr="00AA6CBA">
              <w:rPr>
                <w:rFonts w:ascii="Calibri" w:hAnsi="Calibri" w:cs="Calibri"/>
                <w:noProof/>
                <w:sz w:val="22"/>
                <w:szCs w:val="22"/>
                <w:lang w:val="en-US"/>
              </w:rPr>
              <w:t xml:space="preserve"> </w:t>
            </w:r>
            <w:r w:rsidRPr="00AA6CBA">
              <w:rPr>
                <w:rFonts w:ascii="Calibri" w:hAnsi="Calibri" w:cs="Calibri"/>
                <w:noProof/>
                <w:sz w:val="22"/>
                <w:szCs w:val="22"/>
                <w:lang w:val="en-US"/>
              </w:rPr>
              <w:drawing>
                <wp:inline distT="0" distB="0" distL="0" distR="0" wp14:anchorId="3FC62D94" wp14:editId="30CF5F42">
                  <wp:extent cx="106045" cy="112395"/>
                  <wp:effectExtent l="19050" t="0" r="8255" b="0"/>
                  <wp:docPr id="10"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Pr="00AA6CBA">
              <w:rPr>
                <w:rFonts w:ascii="Calibri" w:hAnsi="Calibri" w:cs="Calibri"/>
                <w:noProof/>
                <w:sz w:val="22"/>
                <w:szCs w:val="22"/>
                <w:lang w:val="en-US"/>
              </w:rPr>
              <w:t xml:space="preserve"> </w:t>
            </w:r>
            <w:r w:rsidRPr="00AA6CBA">
              <w:rPr>
                <w:rFonts w:ascii="Calibri" w:hAnsi="Calibri" w:cs="Calibri"/>
                <w:noProof/>
                <w:sz w:val="22"/>
                <w:szCs w:val="22"/>
                <w:lang w:val="en-US"/>
              </w:rPr>
              <w:drawing>
                <wp:inline distT="0" distB="0" distL="0" distR="0" wp14:anchorId="34878F6A" wp14:editId="4F9593D9">
                  <wp:extent cx="106045" cy="112395"/>
                  <wp:effectExtent l="19050" t="0" r="8255" b="0"/>
                  <wp:docPr id="11"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Pr>
                <w:rFonts w:ascii="Calibri" w:hAnsi="Calibri" w:cs="Calibri"/>
                <w:noProof/>
                <w:sz w:val="22"/>
                <w:szCs w:val="22"/>
                <w:lang w:val="en-US"/>
              </w:rPr>
              <w:t xml:space="preserve"> </w:t>
            </w:r>
            <w:r w:rsidR="00AA6CBA">
              <w:rPr>
                <w:rFonts w:ascii="Calibri" w:hAnsi="Calibri" w:cs="Calibri"/>
                <w:noProof/>
                <w:sz w:val="22"/>
                <w:szCs w:val="22"/>
                <w:lang w:val="en-US"/>
              </w:rPr>
              <w:t xml:space="preserve">O O  </w:t>
            </w:r>
          </w:p>
        </w:tc>
      </w:tr>
      <w:tr w:rsidR="00816A0F" w:rsidRPr="00AA6CBA" w14:paraId="34A9155F" w14:textId="77777777" w:rsidTr="00425413">
        <w:tc>
          <w:tcPr>
            <w:tcW w:w="6629" w:type="dxa"/>
          </w:tcPr>
          <w:p w14:paraId="6ADBDF37" w14:textId="77777777" w:rsidR="00816A0F" w:rsidRPr="00AA6CBA" w:rsidRDefault="00816A0F" w:rsidP="00425413">
            <w:pPr>
              <w:widowControl w:val="0"/>
              <w:tabs>
                <w:tab w:val="left" w:pos="220"/>
                <w:tab w:val="left" w:pos="720"/>
              </w:tabs>
              <w:autoSpaceDE w:val="0"/>
              <w:autoSpaceDN w:val="0"/>
              <w:adjustRightInd w:val="0"/>
              <w:rPr>
                <w:rFonts w:ascii="Calibri" w:hAnsi="Calibri" w:cs="Calibri"/>
                <w:sz w:val="22"/>
                <w:szCs w:val="22"/>
                <w:lang w:val="en-US"/>
              </w:rPr>
            </w:pPr>
            <w:proofErr w:type="spellStart"/>
            <w:r w:rsidRPr="00AA6CBA">
              <w:rPr>
                <w:rFonts w:ascii="Calibri" w:hAnsi="Calibri" w:cs="Calibri"/>
                <w:sz w:val="22"/>
                <w:szCs w:val="22"/>
                <w:lang w:val="en-US"/>
              </w:rPr>
              <w:t>Relevantie</w:t>
            </w:r>
            <w:proofErr w:type="spellEnd"/>
            <w:r w:rsidRPr="00AA6CBA">
              <w:rPr>
                <w:rFonts w:ascii="Calibri" w:hAnsi="Calibri" w:cs="Calibri"/>
                <w:sz w:val="22"/>
                <w:szCs w:val="22"/>
                <w:lang w:val="en-US"/>
              </w:rPr>
              <w:t xml:space="preserve"> voor </w:t>
            </w:r>
            <w:proofErr w:type="spellStart"/>
            <w:r w:rsidRPr="00AA6CBA">
              <w:rPr>
                <w:rFonts w:ascii="Calibri" w:hAnsi="Calibri" w:cs="Calibri"/>
                <w:sz w:val="22"/>
                <w:szCs w:val="22"/>
                <w:lang w:val="en-US"/>
              </w:rPr>
              <w:t>groepsdynamicaopleiding</w:t>
            </w:r>
            <w:proofErr w:type="spellEnd"/>
          </w:p>
        </w:tc>
        <w:tc>
          <w:tcPr>
            <w:tcW w:w="2577" w:type="dxa"/>
          </w:tcPr>
          <w:p w14:paraId="100F43CF" w14:textId="422084F0" w:rsidR="00816A0F" w:rsidRPr="00AA6CBA" w:rsidRDefault="00AA6CBA" w:rsidP="00CE1204">
            <w:pPr>
              <w:widowControl w:val="0"/>
              <w:tabs>
                <w:tab w:val="left" w:pos="220"/>
                <w:tab w:val="left" w:pos="720"/>
              </w:tabs>
              <w:autoSpaceDE w:val="0"/>
              <w:autoSpaceDN w:val="0"/>
              <w:adjustRightInd w:val="0"/>
              <w:rPr>
                <w:rFonts w:ascii="Calibri" w:hAnsi="Calibri" w:cs="Calibri"/>
                <w:sz w:val="22"/>
                <w:szCs w:val="22"/>
                <w:lang w:val="en-US"/>
              </w:rPr>
            </w:pPr>
            <w:r w:rsidRPr="00AA6CBA">
              <w:rPr>
                <w:rFonts w:ascii="Calibri" w:hAnsi="Calibri" w:cs="Calibri"/>
                <w:noProof/>
                <w:sz w:val="22"/>
                <w:szCs w:val="22"/>
                <w:lang w:val="en-US"/>
              </w:rPr>
              <w:drawing>
                <wp:inline distT="0" distB="0" distL="0" distR="0" wp14:anchorId="301F1295" wp14:editId="3318AC0F">
                  <wp:extent cx="106045" cy="112395"/>
                  <wp:effectExtent l="19050" t="0" r="8255" b="0"/>
                  <wp:docPr id="16"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CE1204" w:rsidRPr="00AA6CBA">
              <w:rPr>
                <w:rFonts w:ascii="Calibri" w:hAnsi="Calibri" w:cs="Calibri"/>
                <w:noProof/>
                <w:sz w:val="22"/>
                <w:szCs w:val="22"/>
                <w:lang w:val="en-US"/>
              </w:rPr>
              <w:t xml:space="preserve"> </w:t>
            </w:r>
            <w:r w:rsidR="00341F0E" w:rsidRPr="00AA6CBA">
              <w:rPr>
                <w:rFonts w:ascii="Calibri" w:hAnsi="Calibri" w:cs="Calibri"/>
                <w:noProof/>
                <w:sz w:val="22"/>
                <w:szCs w:val="22"/>
                <w:lang w:val="en-US"/>
              </w:rPr>
              <w:drawing>
                <wp:inline distT="0" distB="0" distL="0" distR="0" wp14:anchorId="7FEFA7A7" wp14:editId="27FFA430">
                  <wp:extent cx="106045" cy="112395"/>
                  <wp:effectExtent l="19050" t="0" r="8255" b="0"/>
                  <wp:docPr id="20"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341F0E" w:rsidRPr="00AA6CBA">
              <w:rPr>
                <w:rFonts w:ascii="Calibri" w:hAnsi="Calibri" w:cs="Calibri"/>
                <w:noProof/>
                <w:sz w:val="22"/>
                <w:szCs w:val="22"/>
                <w:lang w:val="en-US"/>
              </w:rPr>
              <w:drawing>
                <wp:inline distT="0" distB="0" distL="0" distR="0" wp14:anchorId="753D7538" wp14:editId="51C6DBF5">
                  <wp:extent cx="106045" cy="112395"/>
                  <wp:effectExtent l="19050" t="0" r="8255" b="0"/>
                  <wp:docPr id="21"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3825AB" w:rsidRPr="00AA6CBA">
              <w:rPr>
                <w:rFonts w:ascii="Calibri" w:hAnsi="Calibri" w:cs="Calibri"/>
                <w:noProof/>
                <w:sz w:val="22"/>
                <w:szCs w:val="22"/>
                <w:lang w:val="en-US"/>
              </w:rPr>
              <w:t xml:space="preserve"> </w:t>
            </w:r>
            <w:r w:rsidR="003825AB" w:rsidRPr="00AA6CBA">
              <w:rPr>
                <w:rFonts w:ascii="Calibri" w:hAnsi="Calibri" w:cs="Calibri"/>
                <w:noProof/>
                <w:sz w:val="22"/>
                <w:szCs w:val="22"/>
                <w:lang w:val="en-US"/>
              </w:rPr>
              <w:drawing>
                <wp:inline distT="0" distB="0" distL="0" distR="0" wp14:anchorId="6E96D349" wp14:editId="2B349B9F">
                  <wp:extent cx="106045" cy="112395"/>
                  <wp:effectExtent l="19050" t="0" r="8255" b="0"/>
                  <wp:docPr id="2"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3825AB" w:rsidRPr="00AA6CBA">
              <w:rPr>
                <w:rFonts w:ascii="Calibri" w:hAnsi="Calibri" w:cs="Calibri"/>
                <w:noProof/>
                <w:sz w:val="22"/>
                <w:szCs w:val="22"/>
                <w:lang w:val="en-US"/>
              </w:rPr>
              <w:t xml:space="preserve"> </w:t>
            </w:r>
            <w:r w:rsidR="00170572" w:rsidRPr="00AA6CBA">
              <w:rPr>
                <w:rFonts w:ascii="Calibri" w:hAnsi="Calibri" w:cs="Calibri"/>
                <w:noProof/>
                <w:sz w:val="22"/>
                <w:szCs w:val="22"/>
                <w:lang w:val="en-US"/>
              </w:rPr>
              <w:t xml:space="preserve">O </w:t>
            </w:r>
          </w:p>
        </w:tc>
      </w:tr>
      <w:tr w:rsidR="00816A0F" w:rsidRPr="00AA6CBA" w14:paraId="73F88163" w14:textId="77777777" w:rsidTr="00425413">
        <w:tc>
          <w:tcPr>
            <w:tcW w:w="6629" w:type="dxa"/>
          </w:tcPr>
          <w:p w14:paraId="55A5A7B1" w14:textId="77777777" w:rsidR="00816A0F" w:rsidRPr="00AA6CBA" w:rsidRDefault="00816A0F" w:rsidP="00425413">
            <w:pPr>
              <w:widowControl w:val="0"/>
              <w:tabs>
                <w:tab w:val="left" w:pos="220"/>
                <w:tab w:val="left" w:pos="720"/>
              </w:tabs>
              <w:autoSpaceDE w:val="0"/>
              <w:autoSpaceDN w:val="0"/>
              <w:adjustRightInd w:val="0"/>
              <w:rPr>
                <w:rFonts w:ascii="Calibri" w:hAnsi="Calibri" w:cs="Calibri"/>
                <w:sz w:val="22"/>
                <w:szCs w:val="22"/>
                <w:lang w:val="en-US"/>
              </w:rPr>
            </w:pPr>
            <w:proofErr w:type="spellStart"/>
            <w:r w:rsidRPr="00AA6CBA">
              <w:rPr>
                <w:rFonts w:ascii="Calibri" w:hAnsi="Calibri" w:cs="Calibri"/>
                <w:sz w:val="22"/>
                <w:szCs w:val="22"/>
                <w:lang w:val="en-US"/>
              </w:rPr>
              <w:t>Relevantie</w:t>
            </w:r>
            <w:proofErr w:type="spellEnd"/>
            <w:r w:rsidRPr="00AA6CBA">
              <w:rPr>
                <w:rFonts w:ascii="Calibri" w:hAnsi="Calibri" w:cs="Calibri"/>
                <w:sz w:val="22"/>
                <w:szCs w:val="22"/>
                <w:lang w:val="en-US"/>
              </w:rPr>
              <w:t xml:space="preserve"> voor </w:t>
            </w:r>
            <w:proofErr w:type="spellStart"/>
            <w:r w:rsidRPr="00AA6CBA">
              <w:rPr>
                <w:rFonts w:ascii="Calibri" w:hAnsi="Calibri" w:cs="Calibri"/>
                <w:sz w:val="22"/>
                <w:szCs w:val="22"/>
                <w:lang w:val="en-US"/>
              </w:rPr>
              <w:t>groepstherapieopleiding</w:t>
            </w:r>
            <w:proofErr w:type="spellEnd"/>
          </w:p>
        </w:tc>
        <w:tc>
          <w:tcPr>
            <w:tcW w:w="2577" w:type="dxa"/>
          </w:tcPr>
          <w:p w14:paraId="4F1F0465" w14:textId="29F5C735" w:rsidR="00816A0F" w:rsidRPr="00AA6CBA" w:rsidRDefault="001D7C8A" w:rsidP="00CE1204">
            <w:pPr>
              <w:widowControl w:val="0"/>
              <w:tabs>
                <w:tab w:val="left" w:pos="220"/>
                <w:tab w:val="left" w:pos="720"/>
              </w:tabs>
              <w:autoSpaceDE w:val="0"/>
              <w:autoSpaceDN w:val="0"/>
              <w:adjustRightInd w:val="0"/>
              <w:rPr>
                <w:rFonts w:ascii="Calibri" w:eastAsia="MS Gothic" w:hAnsi="Calibri" w:cs="Calibri"/>
                <w:color w:val="000000"/>
                <w:sz w:val="22"/>
                <w:szCs w:val="22"/>
              </w:rPr>
            </w:pPr>
            <w:r w:rsidRPr="00AA6CBA">
              <w:rPr>
                <w:rFonts w:ascii="Calibri" w:hAnsi="Calibri" w:cs="Calibri"/>
                <w:noProof/>
                <w:sz w:val="22"/>
                <w:szCs w:val="22"/>
                <w:lang w:val="en-US"/>
              </w:rPr>
              <w:drawing>
                <wp:inline distT="0" distB="0" distL="0" distR="0" wp14:anchorId="7013DDE7" wp14:editId="4534CACC">
                  <wp:extent cx="106045" cy="112395"/>
                  <wp:effectExtent l="19050" t="0" r="8255" b="0"/>
                  <wp:docPr id="4"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Pr="00AA6CBA">
              <w:rPr>
                <w:rFonts w:ascii="Calibri" w:hAnsi="Calibri" w:cs="Calibri"/>
                <w:noProof/>
                <w:sz w:val="22"/>
                <w:szCs w:val="22"/>
                <w:lang w:val="en-US"/>
              </w:rPr>
              <w:drawing>
                <wp:inline distT="0" distB="0" distL="0" distR="0" wp14:anchorId="1554D2E6" wp14:editId="722B6C69">
                  <wp:extent cx="106045" cy="112395"/>
                  <wp:effectExtent l="19050" t="0" r="8255" b="0"/>
                  <wp:docPr id="5"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170572">
              <w:rPr>
                <w:rFonts w:ascii="Calibri" w:hAnsi="Calibri" w:cs="Calibri"/>
                <w:noProof/>
                <w:sz w:val="22"/>
                <w:szCs w:val="22"/>
                <w:lang w:val="en-US"/>
              </w:rPr>
              <w:t xml:space="preserve"> </w:t>
            </w:r>
            <w:r w:rsidR="003825AB" w:rsidRPr="00AA6CBA">
              <w:rPr>
                <w:rFonts w:ascii="Calibri" w:hAnsi="Calibri" w:cs="Calibri"/>
                <w:noProof/>
                <w:sz w:val="22"/>
                <w:szCs w:val="22"/>
                <w:lang w:val="en-US"/>
              </w:rPr>
              <w:drawing>
                <wp:inline distT="0" distB="0" distL="0" distR="0" wp14:anchorId="14A412BF" wp14:editId="756FE88C">
                  <wp:extent cx="106045" cy="112395"/>
                  <wp:effectExtent l="19050" t="0" r="8255" b="0"/>
                  <wp:docPr id="18"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3825AB" w:rsidRPr="00AA6CBA">
              <w:rPr>
                <w:rFonts w:ascii="Calibri" w:hAnsi="Calibri" w:cs="Calibri"/>
                <w:noProof/>
                <w:sz w:val="22"/>
                <w:szCs w:val="22"/>
                <w:lang w:val="en-US"/>
              </w:rPr>
              <w:t xml:space="preserve"> </w:t>
            </w:r>
            <w:r w:rsidR="003825AB" w:rsidRPr="00AA6CBA">
              <w:rPr>
                <w:rFonts w:ascii="Calibri" w:hAnsi="Calibri" w:cs="Calibri"/>
                <w:noProof/>
                <w:sz w:val="22"/>
                <w:szCs w:val="22"/>
                <w:lang w:val="en-US"/>
              </w:rPr>
              <w:drawing>
                <wp:inline distT="0" distB="0" distL="0" distR="0" wp14:anchorId="3B577C70" wp14:editId="264DB87E">
                  <wp:extent cx="106045" cy="112395"/>
                  <wp:effectExtent l="19050" t="0" r="8255" b="0"/>
                  <wp:docPr id="12"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3825AB" w:rsidRPr="00AA6CBA">
              <w:rPr>
                <w:rFonts w:ascii="Calibri" w:hAnsi="Calibri" w:cs="Calibri"/>
                <w:noProof/>
                <w:sz w:val="22"/>
                <w:szCs w:val="22"/>
                <w:lang w:val="en-US"/>
              </w:rPr>
              <w:t xml:space="preserve"> </w:t>
            </w:r>
            <w:r w:rsidR="00170572" w:rsidRPr="00AA6CBA">
              <w:rPr>
                <w:rFonts w:ascii="Calibri" w:hAnsi="Calibri" w:cs="Calibri"/>
                <w:noProof/>
                <w:sz w:val="22"/>
                <w:szCs w:val="22"/>
                <w:lang w:val="en-US"/>
              </w:rPr>
              <w:t xml:space="preserve">O </w:t>
            </w:r>
          </w:p>
        </w:tc>
      </w:tr>
      <w:tr w:rsidR="00816A0F" w:rsidRPr="00AA6CBA" w14:paraId="381F0BC0" w14:textId="77777777" w:rsidTr="00425413">
        <w:tc>
          <w:tcPr>
            <w:tcW w:w="6629" w:type="dxa"/>
          </w:tcPr>
          <w:p w14:paraId="1F88A5FB" w14:textId="7D988431" w:rsidR="00816A0F" w:rsidRPr="002C254E" w:rsidRDefault="00816A0F" w:rsidP="00425413">
            <w:pPr>
              <w:widowControl w:val="0"/>
              <w:tabs>
                <w:tab w:val="left" w:pos="220"/>
                <w:tab w:val="left" w:pos="720"/>
              </w:tabs>
              <w:autoSpaceDE w:val="0"/>
              <w:autoSpaceDN w:val="0"/>
              <w:adjustRightInd w:val="0"/>
              <w:rPr>
                <w:rFonts w:ascii="Calibri" w:hAnsi="Calibri" w:cs="Calibri"/>
                <w:sz w:val="22"/>
                <w:szCs w:val="22"/>
              </w:rPr>
            </w:pPr>
            <w:r w:rsidRPr="002C254E">
              <w:rPr>
                <w:rFonts w:ascii="Calibri" w:hAnsi="Calibri" w:cs="Calibri"/>
                <w:sz w:val="22"/>
                <w:szCs w:val="22"/>
              </w:rPr>
              <w:t xml:space="preserve">Relevantie voor </w:t>
            </w:r>
            <w:r w:rsidR="00AA6CBA" w:rsidRPr="002C254E">
              <w:rPr>
                <w:rFonts w:ascii="Calibri" w:hAnsi="Calibri" w:cs="Calibri"/>
                <w:sz w:val="22"/>
                <w:szCs w:val="22"/>
              </w:rPr>
              <w:t xml:space="preserve">psychiatrie opleiding en </w:t>
            </w:r>
            <w:r w:rsidRPr="002C254E">
              <w:rPr>
                <w:rFonts w:ascii="Calibri" w:hAnsi="Calibri" w:cs="Calibri"/>
                <w:sz w:val="22"/>
                <w:szCs w:val="22"/>
              </w:rPr>
              <w:t>KP opleiding</w:t>
            </w:r>
          </w:p>
        </w:tc>
        <w:tc>
          <w:tcPr>
            <w:tcW w:w="2577" w:type="dxa"/>
          </w:tcPr>
          <w:p w14:paraId="58546121" w14:textId="46C394D3" w:rsidR="00816A0F" w:rsidRPr="00AA6CBA" w:rsidRDefault="00816A0F" w:rsidP="00425413">
            <w:pPr>
              <w:widowControl w:val="0"/>
              <w:tabs>
                <w:tab w:val="left" w:pos="220"/>
                <w:tab w:val="left" w:pos="720"/>
              </w:tabs>
              <w:autoSpaceDE w:val="0"/>
              <w:autoSpaceDN w:val="0"/>
              <w:adjustRightInd w:val="0"/>
              <w:rPr>
                <w:rFonts w:ascii="Calibri" w:eastAsia="MS Gothic" w:hAnsi="Calibri" w:cs="Calibri"/>
                <w:color w:val="000000"/>
                <w:sz w:val="22"/>
                <w:szCs w:val="22"/>
              </w:rPr>
            </w:pPr>
            <w:r w:rsidRPr="00AA6CBA">
              <w:rPr>
                <w:rFonts w:ascii="Calibri" w:hAnsi="Calibri" w:cs="Calibri"/>
                <w:noProof/>
                <w:sz w:val="22"/>
                <w:szCs w:val="22"/>
                <w:lang w:val="en-US"/>
              </w:rPr>
              <w:drawing>
                <wp:inline distT="0" distB="0" distL="0" distR="0" wp14:anchorId="37F3AB1A" wp14:editId="19F7D9AD">
                  <wp:extent cx="106045" cy="112395"/>
                  <wp:effectExtent l="19050" t="0" r="8255" b="0"/>
                  <wp:docPr id="24"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Pr="00AA6CBA">
              <w:rPr>
                <w:rFonts w:ascii="Calibri" w:hAnsi="Calibri" w:cs="Calibri"/>
                <w:noProof/>
                <w:sz w:val="22"/>
                <w:szCs w:val="22"/>
                <w:lang w:val="en-US"/>
              </w:rPr>
              <w:drawing>
                <wp:inline distT="0" distB="0" distL="0" distR="0" wp14:anchorId="5466892E" wp14:editId="7CA9808D">
                  <wp:extent cx="106045" cy="112395"/>
                  <wp:effectExtent l="19050" t="0" r="8255" b="0"/>
                  <wp:docPr id="25"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9A7691" w:rsidRPr="00AA6CBA">
              <w:rPr>
                <w:rFonts w:ascii="Calibri" w:hAnsi="Calibri" w:cs="Calibri"/>
                <w:noProof/>
                <w:sz w:val="22"/>
                <w:szCs w:val="22"/>
                <w:lang w:val="en-US"/>
              </w:rPr>
              <w:drawing>
                <wp:inline distT="0" distB="0" distL="0" distR="0" wp14:anchorId="6959BA41" wp14:editId="324B4F71">
                  <wp:extent cx="106045" cy="112395"/>
                  <wp:effectExtent l="19050" t="0" r="8255" b="0"/>
                  <wp:docPr id="14"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Pr="00AA6CBA">
              <w:rPr>
                <w:rFonts w:ascii="Calibri" w:hAnsi="Calibri" w:cs="Calibri"/>
                <w:sz w:val="22"/>
                <w:szCs w:val="22"/>
                <w:lang w:val="en-US"/>
              </w:rPr>
              <w:t xml:space="preserve"> </w:t>
            </w:r>
            <w:r w:rsidR="00341F0E" w:rsidRPr="00AA6CBA">
              <w:rPr>
                <w:rFonts w:ascii="Calibri" w:hAnsi="Calibri" w:cs="Calibri"/>
                <w:noProof/>
                <w:sz w:val="22"/>
                <w:szCs w:val="22"/>
                <w:lang w:val="en-US"/>
              </w:rPr>
              <w:drawing>
                <wp:inline distT="0" distB="0" distL="0" distR="0" wp14:anchorId="53DD05BF" wp14:editId="613250F8">
                  <wp:extent cx="106045" cy="112395"/>
                  <wp:effectExtent l="19050" t="0" r="8255" b="0"/>
                  <wp:docPr id="28"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ncrypted-tbn2.gstatic.com/images?q=tbn:ANd9GcS8CzfYEzQqr_prSCZjiKOi18pHj8-l0hbcuPjz8uuBdmxWMeZk8mCpPg"/>
                          <pic:cNvPicPr>
                            <a:picLocks noChangeAspect="1" noChangeArrowheads="1"/>
                          </pic:cNvPicPr>
                        </pic:nvPicPr>
                        <pic:blipFill>
                          <a:blip r:embed="rId8" cstate="print"/>
                          <a:srcRect/>
                          <a:stretch>
                            <a:fillRect/>
                          </a:stretch>
                        </pic:blipFill>
                        <pic:spPr bwMode="auto">
                          <a:xfrm>
                            <a:off x="0" y="0"/>
                            <a:ext cx="106045" cy="112395"/>
                          </a:xfrm>
                          <a:prstGeom prst="rect">
                            <a:avLst/>
                          </a:prstGeom>
                          <a:noFill/>
                          <a:ln w="9525">
                            <a:noFill/>
                            <a:miter lim="800000"/>
                            <a:headEnd/>
                            <a:tailEnd/>
                          </a:ln>
                        </pic:spPr>
                      </pic:pic>
                    </a:graphicData>
                  </a:graphic>
                </wp:inline>
              </w:drawing>
            </w:r>
            <w:r w:rsidR="00341F0E">
              <w:rPr>
                <w:rFonts w:ascii="Calibri" w:hAnsi="Calibri" w:cs="Calibri"/>
                <w:sz w:val="22"/>
                <w:szCs w:val="22"/>
                <w:lang w:val="en-US"/>
              </w:rPr>
              <w:t xml:space="preserve"> </w:t>
            </w:r>
            <w:r w:rsidRPr="00AA6CBA">
              <w:rPr>
                <w:rFonts w:ascii="Calibri" w:hAnsi="Calibri" w:cs="Calibri"/>
                <w:sz w:val="22"/>
                <w:szCs w:val="22"/>
                <w:lang w:val="en-US"/>
              </w:rPr>
              <w:t>O</w:t>
            </w:r>
            <w:r w:rsidR="00CE1204" w:rsidRPr="00AA6CBA">
              <w:rPr>
                <w:rFonts w:ascii="Calibri" w:hAnsi="Calibri" w:cs="Calibri"/>
                <w:noProof/>
                <w:sz w:val="22"/>
                <w:szCs w:val="22"/>
                <w:lang w:val="en-US"/>
              </w:rPr>
              <w:t xml:space="preserve"> </w:t>
            </w:r>
          </w:p>
        </w:tc>
      </w:tr>
    </w:tbl>
    <w:p w14:paraId="1A1299A5" w14:textId="77777777" w:rsidR="00C15B6D" w:rsidRPr="00AA6CBA" w:rsidRDefault="00C15B6D">
      <w:pPr>
        <w:rPr>
          <w:rFonts w:ascii="Calibri" w:hAnsi="Calibri" w:cs="Calibri"/>
          <w:sz w:val="22"/>
          <w:szCs w:val="22"/>
        </w:rPr>
      </w:pPr>
    </w:p>
    <w:sectPr w:rsidR="00C15B6D" w:rsidRPr="00AA6CBA" w:rsidSect="00C15B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dvOTf9433e2d">
    <w:altName w:val="Cambria"/>
    <w:panose1 w:val="00000000000000000000"/>
    <w:charset w:val="00"/>
    <w:family w:val="roman"/>
    <w:notTrueType/>
    <w:pitch w:val="default"/>
    <w:sig w:usb0="00000003" w:usb1="00000000" w:usb2="00000000" w:usb3="00000000" w:csb0="00000001" w:csb1="00000000"/>
  </w:font>
  <w:font w:name="AdvOTf9433e2d+20">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62BB7"/>
    <w:multiLevelType w:val="hybridMultilevel"/>
    <w:tmpl w:val="6F36E9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CC47D53"/>
    <w:multiLevelType w:val="hybridMultilevel"/>
    <w:tmpl w:val="4CD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97329"/>
    <w:multiLevelType w:val="hybridMultilevel"/>
    <w:tmpl w:val="816213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0F"/>
    <w:rsid w:val="00084BAA"/>
    <w:rsid w:val="0008705F"/>
    <w:rsid w:val="000B0B2C"/>
    <w:rsid w:val="001519DF"/>
    <w:rsid w:val="00170572"/>
    <w:rsid w:val="001D7C8A"/>
    <w:rsid w:val="00211E01"/>
    <w:rsid w:val="002158CF"/>
    <w:rsid w:val="002471D3"/>
    <w:rsid w:val="00257A84"/>
    <w:rsid w:val="002B46F9"/>
    <w:rsid w:val="002C254E"/>
    <w:rsid w:val="00334A52"/>
    <w:rsid w:val="00341F0E"/>
    <w:rsid w:val="003825AB"/>
    <w:rsid w:val="00384129"/>
    <w:rsid w:val="00425413"/>
    <w:rsid w:val="00427602"/>
    <w:rsid w:val="00595A6A"/>
    <w:rsid w:val="0062259A"/>
    <w:rsid w:val="00750B6E"/>
    <w:rsid w:val="007A40DD"/>
    <w:rsid w:val="0081529B"/>
    <w:rsid w:val="00816A0F"/>
    <w:rsid w:val="00873A50"/>
    <w:rsid w:val="00912459"/>
    <w:rsid w:val="00991219"/>
    <w:rsid w:val="009A7691"/>
    <w:rsid w:val="00A748D6"/>
    <w:rsid w:val="00AA6CBA"/>
    <w:rsid w:val="00B6060E"/>
    <w:rsid w:val="00BC322C"/>
    <w:rsid w:val="00BF514C"/>
    <w:rsid w:val="00C15B6D"/>
    <w:rsid w:val="00C96BF9"/>
    <w:rsid w:val="00CD06B5"/>
    <w:rsid w:val="00CD49D5"/>
    <w:rsid w:val="00CE1204"/>
    <w:rsid w:val="00DA6089"/>
    <w:rsid w:val="00DB0243"/>
    <w:rsid w:val="00E14F18"/>
    <w:rsid w:val="00E405DB"/>
    <w:rsid w:val="00E62A89"/>
    <w:rsid w:val="00F415D2"/>
    <w:rsid w:val="00F62FE6"/>
    <w:rsid w:val="00FA32FD"/>
    <w:rsid w:val="00FD26B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19CD5"/>
  <w14:defaultImageDpi w14:val="300"/>
  <w15:docId w15:val="{AEED3519-92A7-44BD-A5A5-22DD88EC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6A0F"/>
  </w:style>
  <w:style w:type="paragraph" w:styleId="Kop1">
    <w:name w:val="heading 1"/>
    <w:basedOn w:val="Standaard"/>
    <w:next w:val="Standaard"/>
    <w:link w:val="Kop1Char"/>
    <w:uiPriority w:val="9"/>
    <w:qFormat/>
    <w:rsid w:val="0017057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1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16A0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16A0F"/>
    <w:rPr>
      <w:rFonts w:ascii="Lucida Grande" w:hAnsi="Lucida Grande" w:cs="Lucida Grande"/>
      <w:sz w:val="18"/>
      <w:szCs w:val="18"/>
    </w:rPr>
  </w:style>
  <w:style w:type="paragraph" w:styleId="Lijstalinea">
    <w:name w:val="List Paragraph"/>
    <w:basedOn w:val="Standaard"/>
    <w:uiPriority w:val="34"/>
    <w:qFormat/>
    <w:rsid w:val="00425413"/>
    <w:pPr>
      <w:ind w:left="720"/>
      <w:contextualSpacing/>
    </w:pPr>
    <w:rPr>
      <w:rFonts w:ascii="Times New Roman" w:eastAsia="Times New Roman" w:hAnsi="Times New Roman" w:cs="Times New Roman"/>
      <w:szCs w:val="20"/>
      <w:lang w:val="en-US" w:eastAsia="en-US"/>
    </w:rPr>
  </w:style>
  <w:style w:type="character" w:styleId="Hyperlink">
    <w:name w:val="Hyperlink"/>
    <w:basedOn w:val="Standaardalinea-lettertype"/>
    <w:uiPriority w:val="99"/>
    <w:unhideWhenUsed/>
    <w:rsid w:val="00FD26B4"/>
    <w:rPr>
      <w:color w:val="0000FF" w:themeColor="hyperlink"/>
      <w:u w:val="single"/>
    </w:rPr>
  </w:style>
  <w:style w:type="character" w:styleId="Onopgelostemelding">
    <w:name w:val="Unresolved Mention"/>
    <w:basedOn w:val="Standaardalinea-lettertype"/>
    <w:uiPriority w:val="99"/>
    <w:semiHidden/>
    <w:unhideWhenUsed/>
    <w:rsid w:val="00FD26B4"/>
    <w:rPr>
      <w:color w:val="605E5C"/>
      <w:shd w:val="clear" w:color="auto" w:fill="E1DFDD"/>
    </w:rPr>
  </w:style>
  <w:style w:type="character" w:customStyle="1" w:styleId="Kop1Char">
    <w:name w:val="Kop 1 Char"/>
    <w:basedOn w:val="Standaardalinea-lettertype"/>
    <w:link w:val="Kop1"/>
    <w:uiPriority w:val="9"/>
    <w:rsid w:val="0017057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34037">
      <w:bodyDiv w:val="1"/>
      <w:marLeft w:val="0"/>
      <w:marRight w:val="0"/>
      <w:marTop w:val="0"/>
      <w:marBottom w:val="0"/>
      <w:divBdr>
        <w:top w:val="none" w:sz="0" w:space="0" w:color="auto"/>
        <w:left w:val="none" w:sz="0" w:space="0" w:color="auto"/>
        <w:bottom w:val="none" w:sz="0" w:space="0" w:color="auto"/>
        <w:right w:val="none" w:sz="0" w:space="0" w:color="auto"/>
      </w:divBdr>
      <w:divsChild>
        <w:div w:id="872352940">
          <w:marLeft w:val="0"/>
          <w:marRight w:val="0"/>
          <w:marTop w:val="0"/>
          <w:marBottom w:val="0"/>
          <w:divBdr>
            <w:top w:val="none" w:sz="0" w:space="0" w:color="auto"/>
            <w:left w:val="none" w:sz="0" w:space="0" w:color="auto"/>
            <w:bottom w:val="none" w:sz="0" w:space="0" w:color="auto"/>
            <w:right w:val="none" w:sz="0" w:space="0" w:color="auto"/>
          </w:divBdr>
          <w:divsChild>
            <w:div w:id="1656685523">
              <w:marLeft w:val="0"/>
              <w:marRight w:val="0"/>
              <w:marTop w:val="0"/>
              <w:marBottom w:val="0"/>
              <w:divBdr>
                <w:top w:val="none" w:sz="0" w:space="0" w:color="auto"/>
                <w:left w:val="none" w:sz="0" w:space="0" w:color="auto"/>
                <w:bottom w:val="none" w:sz="0" w:space="0" w:color="auto"/>
                <w:right w:val="none" w:sz="0" w:space="0" w:color="auto"/>
              </w:divBdr>
            </w:div>
          </w:divsChild>
        </w:div>
        <w:div w:id="1792048107">
          <w:marLeft w:val="0"/>
          <w:marRight w:val="0"/>
          <w:marTop w:val="0"/>
          <w:marBottom w:val="0"/>
          <w:divBdr>
            <w:top w:val="none" w:sz="0" w:space="0" w:color="auto"/>
            <w:left w:val="none" w:sz="0" w:space="0" w:color="auto"/>
            <w:bottom w:val="none" w:sz="0" w:space="0" w:color="auto"/>
            <w:right w:val="none" w:sz="0" w:space="0" w:color="auto"/>
          </w:divBdr>
          <w:divsChild>
            <w:div w:id="8641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amazon.com/Donelson-R-Forsyth/e/B001HMKEJ2/ref=dp_byline_cont_book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7/1089-2699.4.1.7" TargetMode="External"/><Relationship Id="rId5" Type="http://schemas.openxmlformats.org/officeDocument/2006/relationships/hyperlink" Target="https://doi.org/10.1037/gdn00001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3622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de haas</dc:creator>
  <cp:keywords/>
  <dc:description/>
  <cp:lastModifiedBy>NVGP NVGP</cp:lastModifiedBy>
  <cp:revision>2</cp:revision>
  <cp:lastPrinted>2022-03-14T18:19:00Z</cp:lastPrinted>
  <dcterms:created xsi:type="dcterms:W3CDTF">2022-03-20T13:37:00Z</dcterms:created>
  <dcterms:modified xsi:type="dcterms:W3CDTF">2022-03-20T13:37:00Z</dcterms:modified>
</cp:coreProperties>
</file>